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0" w:rsidRPr="00BD0EDD" w:rsidRDefault="00BD0EDD" w:rsidP="00554A3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4EE4" w:rsidRDefault="00554A3B" w:rsidP="00554A3B">
      <w:pPr>
        <w:jc w:val="right"/>
      </w:pPr>
      <w:r>
        <w:rPr>
          <w:rFonts w:ascii="Times New Roman" w:eastAsia="Arial" w:hAnsi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02F4" wp14:editId="13291ABE">
                <wp:simplePos x="0" y="0"/>
                <wp:positionH relativeFrom="column">
                  <wp:posOffset>-546735</wp:posOffset>
                </wp:positionH>
                <wp:positionV relativeFrom="paragraph">
                  <wp:posOffset>-240030</wp:posOffset>
                </wp:positionV>
                <wp:extent cx="6610350" cy="9572625"/>
                <wp:effectExtent l="19050" t="1905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57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54A3B" w:rsidRDefault="0033666A" w:rsidP="00554A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drawing>
                                <wp:inline distT="0" distB="0" distL="0" distR="0" wp14:anchorId="3950B90A" wp14:editId="68D78999">
                                  <wp:extent cx="5410200" cy="75247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A3B" w:rsidRDefault="00554A3B" w:rsidP="00554A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666A" w:rsidRPr="00070406" w:rsidRDefault="0033666A" w:rsidP="0033666A">
                            <w:pPr>
                              <w:shd w:val="clear" w:color="auto" w:fill="FFFFFF"/>
                              <w:spacing w:before="150" w:after="18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7040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Приемы передвижения трости</w:t>
                            </w:r>
                            <w:r w:rsidR="00732E4E" w:rsidRPr="0007040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перед собой при ходьбе</w:t>
                            </w:r>
                          </w:p>
                          <w:p w:rsidR="0033666A" w:rsidRPr="0033666A" w:rsidRDefault="0033666A" w:rsidP="0033666A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666A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      1. При обследовании и изучении новых маршрутов и при смене ситуации на знакомом маршруте, в зависимости от условий погоды для слежения за  поверхностью  пути  и  обнаружения  препятствий применяется прием "скольжения".  Делая шаг левой ногой вперед,  незрячий одновременно не отрывая наконечника от поверхности дороги,  скользит им слева на право, и когда нога полностью ступила на поверхность дороги, он останавливает наконечник несколько правее правого плеча.  При шаге правой ногой наконечник скользит влево и когда нога полностью ступает на дорогу, останавливается у исходного положения. Так повторяется до тех пор, пока незрячий передвигае</w:t>
                            </w:r>
                            <w:r w:rsidR="00A24CE5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тся вперед, изучая маршрут. Таким образом,</w:t>
                            </w:r>
                            <w:r w:rsidRPr="0033666A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прежде чем слепой ступит  на  дорогу,  это место уже будет проверено тростью. Прием "скольжения" применяется при изучении новых маршрутов,  при подходе  к лестницам, канавам, выбоинам  и  к  переходам через железнодорожные  и трамвайные пути.</w:t>
                            </w:r>
                          </w:p>
                          <w:p w:rsidR="0033666A" w:rsidRPr="0033666A" w:rsidRDefault="0033666A" w:rsidP="0033666A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666A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   2. В случае если поверхность пути не позволяет наконечнику скользить, необходимо применить прием "учащенного касания". Расстояние между касаниями наконечника трости с  поверхностью  дороги  не  должно превышать 10 см. Используют с той же целью, что и прием "скольжения".</w:t>
                            </w:r>
                          </w:p>
                          <w:p w:rsidR="0033666A" w:rsidRPr="0033666A" w:rsidRDefault="0033666A" w:rsidP="0033666A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666A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      3. На изученном маршруте нет  необходимости  постоянно  скользить тростью по поверхности дороги.  Вместо приема "скольжения" применяется прием "касания". При шаге левой ногой движением кисти наконечник отрывается  от поверхности и дугообразным движением по воздуху переносится вправо. Когда левая нога полностью ступит на поверхность дороги, наконечник опускается на поверхность и касается ее несколько правее правого плеча. Такие дугообразные движения в ритм шагов будут продолжаться на протяжении всего пути.  Наконечник касается пола лишь справа и слева, в двух точках.  Этот прием используется на изученных  маршрутах  в участках, где нет препятствий типа ям, лестниц, рельсов, края платформы и т.п.,  следовательно, нет необходимости очень внимательно  следить за покрытием дороги.</w:t>
                            </w:r>
                          </w:p>
                          <w:p w:rsidR="0033666A" w:rsidRPr="0033666A" w:rsidRDefault="0033666A" w:rsidP="0033666A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3666A">
                              <w:rPr>
                                <w:rFonts w:ascii="Times New Roman" w:eastAsia="Times New Roman" w:hAnsi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   С помощью маятниковой техники можно поддерживать прямолинейное направление. Для этого тростью находят стену,  забор и т.п.  справа и, работая тростью маятниковой техникой,  все  время  касаться  ее  стены справа. Эти  прикосновения помогут идти вдоль стены прямо,  не уходя в сторону. Если незрячий отклоняется в сторону,  то он почувствует, что расстояние до стены увеличилось. Подойдя ближе к стене, он поправляет свое направление. На незнакомом маршруте используется прием "скольжения" на знакомом - прием "касания".</w:t>
                            </w:r>
                          </w:p>
                          <w:p w:rsidR="0033666A" w:rsidRDefault="0033666A" w:rsidP="00554A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666A" w:rsidRDefault="0033666A" w:rsidP="00554A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4A3B" w:rsidRDefault="00554A3B" w:rsidP="00554A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4A3B" w:rsidRDefault="0033666A" w:rsidP="00554A3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55A1F2" wp14:editId="2D557363">
                                  <wp:extent cx="2000250" cy="1303020"/>
                                  <wp:effectExtent l="133350" t="114300" r="152400" b="163830"/>
                                  <wp:docPr id="6" name="Рисунок 6" descr="http://www.21.by/pub/news/2016/10/14769685287127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21.by/pub/news/2016/10/14769685287127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3.05pt;margin-top:-18.9pt;width:520.5pt;height:7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" fillcolor="window" strokecolor="windowText" strokeweight="4.5pt">
                <v:stroke dashstyle="1 1"/>
                <v:textbox>
                  <w:txbxContent>
                    <w:p w:rsidR="00554A3B" w:rsidRDefault="0033666A" w:rsidP="00554A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  <w:u w:val="single"/>
                          <w:lang w:eastAsia="ru-RU"/>
                        </w:rPr>
                        <w:drawing>
                          <wp:inline distT="0" distB="0" distL="0" distR="0" wp14:anchorId="3950B90A" wp14:editId="68D78999">
                            <wp:extent cx="5410200" cy="75247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A3B" w:rsidRDefault="00554A3B" w:rsidP="00554A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</w:p>
                    <w:p w:rsidR="0033666A" w:rsidRPr="00070406" w:rsidRDefault="0033666A" w:rsidP="0033666A">
                      <w:pPr>
                        <w:shd w:val="clear" w:color="auto" w:fill="FFFFFF"/>
                        <w:spacing w:before="150" w:after="180" w:line="240" w:lineRule="auto"/>
                        <w:jc w:val="center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07040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Приемы передвижения трости</w:t>
                      </w:r>
                      <w:r w:rsidR="00732E4E" w:rsidRPr="0007040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перед собой при ходьбе</w:t>
                      </w:r>
                      <w:bookmarkStart w:id="1" w:name="_GoBack"/>
                      <w:bookmarkEnd w:id="1"/>
                    </w:p>
                    <w:p w:rsidR="0033666A" w:rsidRPr="0033666A" w:rsidRDefault="0033666A" w:rsidP="0033666A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33666A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      1. При обследовании и изучении новых маршрутов и при смене ситуации на знакомом маршруте, в зависимости от условий погоды для слежения за  поверхностью  пути  и  обнаружения  препятствий применяется прием "скольжения".  Делая шаг левой ногой вперед,  незрячий одновременно не отрывая наконечника от поверхности дороги,  скользит им слева на право, и когда нога полностью ступила на поверхность дороги, он останавливает наконечник несколько правее правого плеча.  При шаге правой ногой наконечник скользит влево и когда нога полностью ступает на дорогу, останавливается у исходного положения. Так повторяется до тех пор, пока незрячий передвигае</w:t>
                      </w:r>
                      <w:r w:rsidR="00A24CE5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тся вперед, изучая маршрут. Таким образом,</w:t>
                      </w:r>
                      <w:r w:rsidRPr="0033666A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прежде чем слепой ступит  на  дорогу,  это место уже будет проверено тростью. Прием "скольжения" применяется при изучении новых маршрутов,  при подходе  к лестницам, канавам, выбоинам  и  к  переходам через железнодорожные  и трамвайные пути.</w:t>
                      </w:r>
                    </w:p>
                    <w:p w:rsidR="0033666A" w:rsidRPr="0033666A" w:rsidRDefault="0033666A" w:rsidP="0033666A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33666A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   2. В случае если поверхность пути не позволяет наконечнику скользить, необходимо применить прием "учащенного касания". Расстояние между касаниями наконечника трости с  поверхностью  дороги  не  должно превышать 10 см. Используют с той же целью, что и прием "скольжения".</w:t>
                      </w:r>
                    </w:p>
                    <w:p w:rsidR="0033666A" w:rsidRPr="0033666A" w:rsidRDefault="0033666A" w:rsidP="0033666A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33666A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      3. На изученном маршруте нет  необходимости  постоянно  скользить тростью по поверхности дороги.  Вместо приема "скольжения" применяется прием "касания". При шаге левой ногой движением кисти наконечник отрывается  от поверхности и дугообразным движением по воздуху переносится вправо. Когда левая нога полностью ступит на поверхность дороги, наконечник опускается на поверхность и касается ее несколько правее правого плеча. Такие дугообразные движения в ритм шагов будут продолжаться на протяжении всего пути.  Наконечник касается пола лишь справа и слева, в двух точках.  Этот прием используется на изученных  маршрутах  в участках, где нет препятствий типа ям, лестниц, рельсов, края платформы и т.п.,  следовательно, нет необходимости очень внимательно  следить за покрытием дороги.</w:t>
                      </w:r>
                    </w:p>
                    <w:p w:rsidR="0033666A" w:rsidRPr="0033666A" w:rsidRDefault="0033666A" w:rsidP="0033666A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18"/>
                          <w:szCs w:val="18"/>
                          <w:lang w:eastAsia="ru-RU"/>
                        </w:rPr>
                      </w:pPr>
                      <w:r w:rsidRPr="0033666A">
                        <w:rPr>
                          <w:rFonts w:ascii="Times New Roman" w:eastAsia="Times New Roman" w:hAnsi="Times New Roman"/>
                          <w:color w:val="111111"/>
                          <w:sz w:val="24"/>
                          <w:szCs w:val="24"/>
                          <w:lang w:eastAsia="ru-RU"/>
                        </w:rPr>
                        <w:t>   С помощью маятниковой техники можно поддерживать прямолинейное направление. Для этого тростью находят стену,  забор и т.п.  справа и, работая тростью маятниковой техникой,  все  время  касаться  ее  стены справа. Эти  прикосновения помогут идти вдоль стены прямо,  не уходя в сторону. Если незрячий отклоняется в сторону,  то он почувствует, что расстояние до стены увеличилось. Подойдя ближе к стене, он поправляет свое направление. На незнакомом маршруте используется прием "скольжения" на знакомом - прием "касания".</w:t>
                      </w:r>
                    </w:p>
                    <w:p w:rsidR="0033666A" w:rsidRDefault="0033666A" w:rsidP="00554A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</w:p>
                    <w:p w:rsidR="0033666A" w:rsidRDefault="0033666A" w:rsidP="00554A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4A3B" w:rsidRDefault="00554A3B" w:rsidP="00554A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4A3B" w:rsidRDefault="0033666A" w:rsidP="00554A3B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55A1F2" wp14:editId="2D557363">
                            <wp:extent cx="2000250" cy="1303020"/>
                            <wp:effectExtent l="133350" t="114300" r="152400" b="163830"/>
                            <wp:docPr id="6" name="Рисунок 6" descr="http://www.21.by/pub/news/2016/10/14769685287127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21.by/pub/news/2016/10/14769685287127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303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Pr="00874EE4" w:rsidRDefault="00874EE4" w:rsidP="00874EE4"/>
    <w:p w:rsidR="00874EE4" w:rsidRDefault="00874EE4" w:rsidP="00874EE4"/>
    <w:p w:rsidR="00554A3B" w:rsidRDefault="00554A3B" w:rsidP="00874EE4">
      <w:pPr>
        <w:jc w:val="right"/>
      </w:pPr>
    </w:p>
    <w:p w:rsidR="00874EE4" w:rsidRDefault="00874EE4" w:rsidP="00874EE4">
      <w:pPr>
        <w:jc w:val="right"/>
      </w:pPr>
    </w:p>
    <w:p w:rsidR="00874EE4" w:rsidRDefault="00874EE4" w:rsidP="00874EE4">
      <w:pPr>
        <w:jc w:val="right"/>
      </w:pPr>
    </w:p>
    <w:p w:rsidR="00874EE4" w:rsidRPr="00874EE4" w:rsidRDefault="00874EE4" w:rsidP="00874EE4">
      <w:pPr>
        <w:jc w:val="right"/>
      </w:pPr>
    </w:p>
    <w:sectPr w:rsidR="00874EE4" w:rsidRPr="00874EE4" w:rsidSect="00554A3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B" w:rsidRDefault="00554A3B" w:rsidP="00554A3B">
      <w:pPr>
        <w:spacing w:after="0" w:line="240" w:lineRule="auto"/>
      </w:pPr>
      <w:r>
        <w:separator/>
      </w:r>
    </w:p>
  </w:endnote>
  <w:endnote w:type="continuationSeparator" w:id="0">
    <w:p w:rsidR="00554A3B" w:rsidRDefault="00554A3B" w:rsidP="0055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B" w:rsidRDefault="00554A3B" w:rsidP="00554A3B">
      <w:pPr>
        <w:spacing w:after="0" w:line="240" w:lineRule="auto"/>
      </w:pPr>
      <w:r>
        <w:separator/>
      </w:r>
    </w:p>
  </w:footnote>
  <w:footnote w:type="continuationSeparator" w:id="0">
    <w:p w:rsidR="00554A3B" w:rsidRDefault="00554A3B" w:rsidP="0055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3"/>
    <w:rsid w:val="00027078"/>
    <w:rsid w:val="00062BFE"/>
    <w:rsid w:val="00070406"/>
    <w:rsid w:val="001616A6"/>
    <w:rsid w:val="0033666A"/>
    <w:rsid w:val="003C5D0F"/>
    <w:rsid w:val="004E69A3"/>
    <w:rsid w:val="00554A3B"/>
    <w:rsid w:val="005B26F8"/>
    <w:rsid w:val="00732E4E"/>
    <w:rsid w:val="00733E11"/>
    <w:rsid w:val="00874EE4"/>
    <w:rsid w:val="008D4398"/>
    <w:rsid w:val="00985815"/>
    <w:rsid w:val="009C41A9"/>
    <w:rsid w:val="00A24CE5"/>
    <w:rsid w:val="00A45D3B"/>
    <w:rsid w:val="00BD0EDD"/>
    <w:rsid w:val="00D255A6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A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A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3E0A-3730-48B1-BCC2-967026A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компик</cp:lastModifiedBy>
  <cp:revision>10</cp:revision>
  <dcterms:created xsi:type="dcterms:W3CDTF">2018-09-24T09:23:00Z</dcterms:created>
  <dcterms:modified xsi:type="dcterms:W3CDTF">2018-12-18T05:29:00Z</dcterms:modified>
</cp:coreProperties>
</file>